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96DE4" w14:textId="77777777" w:rsidR="001B57B8" w:rsidRDefault="001B57B8">
      <w:pPr>
        <w:spacing w:line="276" w:lineRule="auto"/>
        <w:jc w:val="center"/>
        <w:rPr>
          <w:rFonts w:ascii="Times New Roman" w:hAnsi="Times New Roman" w:cs="Times New Roman"/>
          <w:b/>
          <w:bCs/>
          <w:sz w:val="28"/>
          <w:szCs w:val="28"/>
          <w:lang w:val="el-GR"/>
        </w:rPr>
      </w:pPr>
      <w:r>
        <w:rPr>
          <w:noProof/>
          <w:lang w:eastAsia="el-GR"/>
        </w:rPr>
        <w:drawing>
          <wp:inline distT="0" distB="0" distL="0" distR="0" wp14:anchorId="0BC5D7BC" wp14:editId="3FF1F54E">
            <wp:extent cx="3333750" cy="2333625"/>
            <wp:effectExtent l="0" t="0" r="0" b="9525"/>
            <wp:docPr id="1" name="Εικόνα 1" descr="Ανακοινώσεις Ολομέλειας | Ολομέλεια Δικηγορικών Συλλόγων Ελλάδ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Ανακοινώσεις Ολομέλειας | Ολομέλεια Δικηγορικών Συλλόγων Ελλάδα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2333625"/>
                    </a:xfrm>
                    <a:prstGeom prst="rect">
                      <a:avLst/>
                    </a:prstGeom>
                    <a:noFill/>
                    <a:ln>
                      <a:noFill/>
                    </a:ln>
                  </pic:spPr>
                </pic:pic>
              </a:graphicData>
            </a:graphic>
          </wp:inline>
        </w:drawing>
      </w:r>
    </w:p>
    <w:p w14:paraId="1679BBF1" w14:textId="77777777" w:rsidR="001B57B8" w:rsidRPr="001B57B8" w:rsidRDefault="001B57B8" w:rsidP="001B57B8">
      <w:pPr>
        <w:spacing w:line="276" w:lineRule="auto"/>
        <w:rPr>
          <w:rFonts w:ascii="Times New Roman" w:hAnsi="Times New Roman" w:cs="Times New Roman"/>
          <w:b/>
          <w:bCs/>
          <w:sz w:val="28"/>
          <w:szCs w:val="28"/>
          <w:u w:val="single"/>
          <w:lang w:val="el-GR"/>
        </w:rPr>
      </w:pPr>
      <w:r>
        <w:rPr>
          <w:rFonts w:ascii="Times New Roman" w:hAnsi="Times New Roman" w:cs="Times New Roman"/>
          <w:b/>
          <w:bCs/>
          <w:sz w:val="28"/>
          <w:szCs w:val="28"/>
          <w:lang w:val="el-GR"/>
        </w:rPr>
        <w:t xml:space="preserve">                                                                           </w:t>
      </w:r>
      <w:r w:rsidRPr="001B57B8">
        <w:rPr>
          <w:rFonts w:ascii="Times New Roman" w:hAnsi="Times New Roman" w:cs="Times New Roman"/>
          <w:b/>
          <w:bCs/>
          <w:sz w:val="28"/>
          <w:szCs w:val="28"/>
          <w:u w:val="single"/>
          <w:lang w:val="el-GR"/>
        </w:rPr>
        <w:t xml:space="preserve">   Αθήνα 11-12-2022</w:t>
      </w:r>
    </w:p>
    <w:p w14:paraId="572BC68B" w14:textId="77777777" w:rsidR="001B57B8" w:rsidRDefault="001B57B8">
      <w:pPr>
        <w:spacing w:line="276" w:lineRule="auto"/>
        <w:jc w:val="center"/>
        <w:rPr>
          <w:rFonts w:ascii="Times New Roman" w:hAnsi="Times New Roman" w:cs="Times New Roman"/>
          <w:b/>
          <w:bCs/>
          <w:sz w:val="28"/>
          <w:szCs w:val="28"/>
          <w:lang w:val="el-GR"/>
        </w:rPr>
      </w:pPr>
    </w:p>
    <w:p w14:paraId="456CB2F7" w14:textId="77777777" w:rsidR="00E80AD1" w:rsidRDefault="00343F6B">
      <w:pPr>
        <w:spacing w:line="276" w:lineRule="auto"/>
        <w:jc w:val="center"/>
        <w:rPr>
          <w:rFonts w:ascii="Times New Roman" w:hAnsi="Times New Roman" w:cs="Times New Roman"/>
          <w:b/>
          <w:bCs/>
          <w:sz w:val="28"/>
          <w:szCs w:val="28"/>
          <w:lang w:val="el-GR"/>
        </w:rPr>
      </w:pPr>
      <w:r>
        <w:rPr>
          <w:rFonts w:ascii="Times New Roman" w:hAnsi="Times New Roman" w:cs="Times New Roman"/>
          <w:b/>
          <w:bCs/>
          <w:sz w:val="28"/>
          <w:szCs w:val="28"/>
          <w:lang w:val="el-GR"/>
        </w:rPr>
        <w:t>ΨΗΦΙΣΜΑ ΓΙΑ ΤΗ ΔΗΜΟΣΙΑ ΔΙΑΧΕΙΡΙΣΗ ΤΟΥ ΝΕΡΟΥ</w:t>
      </w:r>
    </w:p>
    <w:p w14:paraId="761A79DB" w14:textId="77777777" w:rsidR="00E80AD1" w:rsidRDefault="00343F6B">
      <w:pPr>
        <w:spacing w:line="276" w:lineRule="auto"/>
        <w:jc w:val="both"/>
        <w:rPr>
          <w:rFonts w:ascii="Times New Roman" w:hAnsi="Times New Roman" w:cs="Times New Roman"/>
          <w:sz w:val="28"/>
          <w:szCs w:val="28"/>
          <w:lang w:val="el-GR"/>
        </w:rPr>
      </w:pPr>
      <w:r>
        <w:rPr>
          <w:rFonts w:ascii="Times New Roman" w:hAnsi="Times New Roman" w:cs="Times New Roman"/>
          <w:sz w:val="28"/>
          <w:szCs w:val="28"/>
          <w:lang w:val="el-GR"/>
        </w:rPr>
        <w:t>1. Η πρόσβαση στο νερό αποτελεί θεμελιώδες ανθρώπινο δικαίωμα που συνδέεται με την ύπαρξη της ζωής και της επιβίωσης των ανθρώπινων κοινωνιών, σύμφωνα άλλωστε και με το Ψήφισμα 64/292/2010 της Γενικής Συνέλευσης του ΟΗΕ.</w:t>
      </w:r>
    </w:p>
    <w:p w14:paraId="70C1B560" w14:textId="77777777" w:rsidR="00E80AD1" w:rsidRDefault="00343F6B">
      <w:pPr>
        <w:spacing w:line="276" w:lineRule="auto"/>
        <w:jc w:val="both"/>
        <w:rPr>
          <w:rFonts w:ascii="Times New Roman" w:hAnsi="Times New Roman" w:cs="Times New Roman"/>
          <w:sz w:val="28"/>
          <w:szCs w:val="28"/>
          <w:lang w:val="el-GR"/>
        </w:rPr>
      </w:pPr>
      <w:r>
        <w:rPr>
          <w:rFonts w:ascii="Times New Roman" w:hAnsi="Times New Roman" w:cs="Times New Roman"/>
          <w:sz w:val="28"/>
          <w:szCs w:val="28"/>
          <w:lang w:val="el-GR"/>
        </w:rPr>
        <w:t xml:space="preserve">Κάθε άνθρωπος έχει δικαίωμα να έχει πρόσβαση σε νερό επαρκές, ασφαλές, </w:t>
      </w:r>
      <w:proofErr w:type="spellStart"/>
      <w:r>
        <w:rPr>
          <w:rFonts w:ascii="Times New Roman" w:hAnsi="Times New Roman" w:cs="Times New Roman"/>
          <w:sz w:val="28"/>
          <w:szCs w:val="28"/>
          <w:lang w:val="el-GR"/>
        </w:rPr>
        <w:t>προσβάσιμο</w:t>
      </w:r>
      <w:proofErr w:type="spellEnd"/>
      <w:r>
        <w:rPr>
          <w:rFonts w:ascii="Times New Roman" w:hAnsi="Times New Roman" w:cs="Times New Roman"/>
          <w:sz w:val="28"/>
          <w:szCs w:val="28"/>
          <w:lang w:val="el-GR"/>
        </w:rPr>
        <w:t xml:space="preserve"> και οικονομικά προσιτό.</w:t>
      </w:r>
    </w:p>
    <w:p w14:paraId="52581697" w14:textId="77777777" w:rsidR="00E80AD1" w:rsidRDefault="00343F6B">
      <w:pPr>
        <w:spacing w:line="276" w:lineRule="auto"/>
        <w:jc w:val="both"/>
        <w:rPr>
          <w:rFonts w:ascii="Times New Roman" w:hAnsi="Times New Roman" w:cs="Times New Roman"/>
          <w:sz w:val="28"/>
          <w:szCs w:val="28"/>
          <w:lang w:val="el-GR"/>
        </w:rPr>
      </w:pPr>
      <w:r>
        <w:rPr>
          <w:rFonts w:ascii="Times New Roman" w:hAnsi="Times New Roman" w:cs="Times New Roman"/>
          <w:sz w:val="28"/>
          <w:szCs w:val="28"/>
          <w:lang w:val="el-GR"/>
        </w:rPr>
        <w:t>2. Η παγκόσμια εμπειρία αποδεικνύει ότι η ιδιωτικοποίηση των υπηρεσιών ύδρευσης οδήγησε σε αλματώδη αύξηση της τιμής του, κατακόρυφη πτώση της προσβασιμότητας σε αυτό και της ποιότητας αυτού, καθώς και σε μείωση της απασχόλησης. Για το λόγο αυτό, αναγνωρίζεται πλέον η θεμελιώδης σημασία της δημόσιας διαχείρισης του κοινωνικού αυτού αγαθού.</w:t>
      </w:r>
    </w:p>
    <w:p w14:paraId="18677C4B" w14:textId="77777777" w:rsidR="001B57B8" w:rsidRDefault="00343F6B">
      <w:pPr>
        <w:spacing w:line="276" w:lineRule="auto"/>
        <w:jc w:val="both"/>
        <w:rPr>
          <w:rFonts w:ascii="Times New Roman" w:hAnsi="Times New Roman" w:cs="Times New Roman"/>
          <w:sz w:val="28"/>
          <w:szCs w:val="28"/>
          <w:lang w:val="el-GR"/>
        </w:rPr>
      </w:pPr>
      <w:r>
        <w:rPr>
          <w:rFonts w:ascii="Times New Roman" w:hAnsi="Times New Roman" w:cs="Times New Roman"/>
          <w:sz w:val="28"/>
          <w:szCs w:val="28"/>
          <w:lang w:val="el-GR"/>
        </w:rPr>
        <w:t xml:space="preserve">3. Η Ολομέλεια των Προέδρων των Δικηγορικών Συλλόγων της χώρας συντάσσεται πλήρως με τη νομολογία της Ολομέλειας του </w:t>
      </w:r>
      <w:proofErr w:type="spellStart"/>
      <w:r>
        <w:rPr>
          <w:rFonts w:ascii="Times New Roman" w:hAnsi="Times New Roman" w:cs="Times New Roman"/>
          <w:sz w:val="28"/>
          <w:szCs w:val="28"/>
          <w:lang w:val="el-GR"/>
        </w:rPr>
        <w:t>ΣτΕ</w:t>
      </w:r>
      <w:proofErr w:type="spellEnd"/>
      <w:r>
        <w:rPr>
          <w:rFonts w:ascii="Times New Roman" w:hAnsi="Times New Roman" w:cs="Times New Roman"/>
          <w:sz w:val="28"/>
          <w:szCs w:val="28"/>
          <w:lang w:val="el-GR"/>
        </w:rPr>
        <w:t xml:space="preserve"> που προασπίζεται τον δημόσιο χαρακτήρα των υπηρεσιών ύδρευσης και αποχέτευσης ως ζωτικής σημασίας για το κοινωνικό σύνολο και με τις οποίες κρίθηκε ως αντισυνταγματική η μεταβίβαση των μετοχών του Ελληνικού Δημοσίου σε ΕΥΔΑΠ και ΕΥΑΘ στην Ελληνική Εταιρία Δημόσιων Συμμετοχών και Περιουσίας, που συνήθως αναφέρεται ως </w:t>
      </w:r>
      <w:proofErr w:type="spellStart"/>
      <w:r>
        <w:rPr>
          <w:rFonts w:ascii="Times New Roman" w:hAnsi="Times New Roman" w:cs="Times New Roman"/>
          <w:sz w:val="28"/>
          <w:szCs w:val="28"/>
          <w:lang w:val="el-GR"/>
        </w:rPr>
        <w:t>Υπερταμείο</w:t>
      </w:r>
      <w:proofErr w:type="spellEnd"/>
      <w:r>
        <w:rPr>
          <w:rFonts w:ascii="Times New Roman" w:hAnsi="Times New Roman" w:cs="Times New Roman"/>
          <w:sz w:val="28"/>
          <w:szCs w:val="28"/>
          <w:lang w:val="el-GR"/>
        </w:rPr>
        <w:t xml:space="preserve"> (</w:t>
      </w:r>
      <w:proofErr w:type="spellStart"/>
      <w:r>
        <w:rPr>
          <w:rFonts w:ascii="Times New Roman" w:hAnsi="Times New Roman" w:cs="Times New Roman"/>
          <w:sz w:val="28"/>
          <w:szCs w:val="28"/>
          <w:lang w:val="el-GR"/>
        </w:rPr>
        <w:t>ΟλΣτΕ</w:t>
      </w:r>
      <w:proofErr w:type="spellEnd"/>
      <w:r>
        <w:rPr>
          <w:rFonts w:ascii="Times New Roman" w:hAnsi="Times New Roman" w:cs="Times New Roman"/>
          <w:sz w:val="28"/>
          <w:szCs w:val="28"/>
          <w:lang w:val="el-GR"/>
        </w:rPr>
        <w:t xml:space="preserve"> 190-191/2022).</w:t>
      </w:r>
      <w:r w:rsidR="001B57B8">
        <w:rPr>
          <w:rFonts w:ascii="Times New Roman" w:hAnsi="Times New Roman" w:cs="Times New Roman"/>
          <w:sz w:val="28"/>
          <w:szCs w:val="28"/>
          <w:lang w:val="el-GR"/>
        </w:rPr>
        <w:t xml:space="preserve"> </w:t>
      </w:r>
    </w:p>
    <w:p w14:paraId="55181021" w14:textId="77777777" w:rsidR="00E80AD1" w:rsidRDefault="001B57B8">
      <w:pPr>
        <w:spacing w:line="276" w:lineRule="auto"/>
        <w:jc w:val="both"/>
        <w:rPr>
          <w:rFonts w:ascii="Times New Roman" w:hAnsi="Times New Roman" w:cs="Times New Roman"/>
          <w:sz w:val="28"/>
          <w:szCs w:val="28"/>
          <w:lang w:val="el-GR"/>
        </w:rPr>
      </w:pPr>
      <w:r>
        <w:rPr>
          <w:rFonts w:ascii="Times New Roman" w:hAnsi="Times New Roman" w:cs="Times New Roman"/>
          <w:sz w:val="28"/>
          <w:szCs w:val="28"/>
          <w:lang w:val="el-GR"/>
        </w:rPr>
        <w:t>./.</w:t>
      </w:r>
    </w:p>
    <w:p w14:paraId="172F9563" w14:textId="77777777" w:rsidR="001B57B8" w:rsidRDefault="001B57B8">
      <w:pPr>
        <w:spacing w:line="276" w:lineRule="auto"/>
        <w:jc w:val="both"/>
        <w:rPr>
          <w:rFonts w:ascii="Times New Roman" w:hAnsi="Times New Roman" w:cs="Times New Roman"/>
          <w:sz w:val="28"/>
          <w:szCs w:val="28"/>
          <w:lang w:val="el-GR"/>
        </w:rPr>
      </w:pPr>
      <w:r>
        <w:rPr>
          <w:rFonts w:ascii="Times New Roman" w:hAnsi="Times New Roman" w:cs="Times New Roman"/>
          <w:sz w:val="28"/>
          <w:szCs w:val="28"/>
          <w:lang w:val="el-GR"/>
        </w:rPr>
        <w:lastRenderedPageBreak/>
        <w:t xml:space="preserve">                                  -2-</w:t>
      </w:r>
    </w:p>
    <w:p w14:paraId="1782B0D0" w14:textId="77777777" w:rsidR="00E80AD1" w:rsidRPr="000A5DD1" w:rsidRDefault="00343F6B">
      <w:pPr>
        <w:spacing w:line="276" w:lineRule="auto"/>
        <w:jc w:val="both"/>
        <w:rPr>
          <w:lang w:val="el-GR"/>
        </w:rPr>
      </w:pPr>
      <w:r>
        <w:rPr>
          <w:rFonts w:ascii="Times New Roman" w:hAnsi="Times New Roman" w:cs="Times New Roman"/>
          <w:sz w:val="28"/>
          <w:szCs w:val="28"/>
          <w:lang w:val="el-GR"/>
        </w:rPr>
        <w:t xml:space="preserve">4. Η Ολομέλεια των Προέδρων των Δικηγορικών Συλλόγων καταδικάζει ως αντίθετη στη διάκριση των εξουσιών και το κράτος δικαίου, αφενός,  τη μη συμμόρφωση της διοίκησης με τις ανωτέρω αποφάσεις του </w:t>
      </w:r>
      <w:proofErr w:type="spellStart"/>
      <w:r>
        <w:rPr>
          <w:rFonts w:ascii="Times New Roman" w:hAnsi="Times New Roman" w:cs="Times New Roman"/>
          <w:sz w:val="28"/>
          <w:szCs w:val="28"/>
          <w:lang w:val="el-GR"/>
        </w:rPr>
        <w:t>ΣτΕ</w:t>
      </w:r>
      <w:proofErr w:type="spellEnd"/>
      <w:r>
        <w:rPr>
          <w:rFonts w:ascii="Times New Roman" w:hAnsi="Times New Roman" w:cs="Times New Roman"/>
          <w:sz w:val="28"/>
          <w:szCs w:val="28"/>
          <w:lang w:val="el-GR"/>
        </w:rPr>
        <w:t xml:space="preserve"> και, αφετέρου, τη ψήφιση </w:t>
      </w:r>
      <w:proofErr w:type="spellStart"/>
      <w:r>
        <w:rPr>
          <w:rFonts w:ascii="Times New Roman" w:hAnsi="Times New Roman" w:cs="Times New Roman"/>
          <w:sz w:val="28"/>
          <w:szCs w:val="28"/>
          <w:lang w:val="el-GR"/>
        </w:rPr>
        <w:t>μεταγενεστέρως</w:t>
      </w:r>
      <w:proofErr w:type="spellEnd"/>
      <w:r>
        <w:rPr>
          <w:rFonts w:ascii="Times New Roman" w:hAnsi="Times New Roman" w:cs="Times New Roman"/>
          <w:sz w:val="28"/>
          <w:szCs w:val="28"/>
          <w:lang w:val="el-GR"/>
        </w:rPr>
        <w:t xml:space="preserve"> διατάξεων στο νόμο 4964/2022 που προβλέπουν τη διατήρηση των μετοχών της ΕΥΔΑΠ και ΕΥΑΘ στο </w:t>
      </w:r>
      <w:proofErr w:type="spellStart"/>
      <w:r>
        <w:rPr>
          <w:rFonts w:ascii="Times New Roman" w:hAnsi="Times New Roman" w:cs="Times New Roman"/>
          <w:sz w:val="28"/>
          <w:szCs w:val="28"/>
          <w:lang w:val="el-GR"/>
        </w:rPr>
        <w:t>Υπερταμείο</w:t>
      </w:r>
      <w:proofErr w:type="spellEnd"/>
      <w:r>
        <w:rPr>
          <w:rFonts w:ascii="Times New Roman" w:hAnsi="Times New Roman" w:cs="Times New Roman"/>
          <w:sz w:val="28"/>
          <w:szCs w:val="28"/>
          <w:lang w:val="el-GR"/>
        </w:rPr>
        <w:t xml:space="preserve"> και ζητά τον σεβασμό των δικαστικών αποφάσεων και τη συμμόρφωση του κράτους με τις αποφάσεις του Συμβουλίου της Επικρατείας.</w:t>
      </w:r>
      <w:r w:rsidR="001B57B8">
        <w:rPr>
          <w:rFonts w:ascii="Times New Roman" w:hAnsi="Times New Roman" w:cs="Times New Roman"/>
          <w:sz w:val="28"/>
          <w:szCs w:val="28"/>
          <w:lang w:val="el-GR"/>
        </w:rPr>
        <w:t>.-</w:t>
      </w:r>
    </w:p>
    <w:sectPr w:rsidR="00E80AD1" w:rsidRPr="000A5DD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3F929" w14:textId="77777777" w:rsidR="002300DB" w:rsidRDefault="002300DB">
      <w:pPr>
        <w:spacing w:after="0" w:line="240" w:lineRule="auto"/>
      </w:pPr>
      <w:r>
        <w:separator/>
      </w:r>
    </w:p>
  </w:endnote>
  <w:endnote w:type="continuationSeparator" w:id="0">
    <w:p w14:paraId="58310B61" w14:textId="77777777" w:rsidR="002300DB" w:rsidRDefault="00230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63A58" w14:textId="77777777" w:rsidR="002300DB" w:rsidRDefault="002300DB">
      <w:pPr>
        <w:spacing w:after="0" w:line="240" w:lineRule="auto"/>
      </w:pPr>
      <w:r>
        <w:rPr>
          <w:color w:val="000000"/>
        </w:rPr>
        <w:separator/>
      </w:r>
    </w:p>
  </w:footnote>
  <w:footnote w:type="continuationSeparator" w:id="0">
    <w:p w14:paraId="6CD17419" w14:textId="77777777" w:rsidR="002300DB" w:rsidRDefault="002300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D1"/>
    <w:rsid w:val="000A5DD1"/>
    <w:rsid w:val="001B57B8"/>
    <w:rsid w:val="002300DB"/>
    <w:rsid w:val="002479D9"/>
    <w:rsid w:val="00343F6B"/>
    <w:rsid w:val="00B757E2"/>
    <w:rsid w:val="00E80A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4ADE6"/>
  <w15:docId w15:val="{74490BFB-2E05-460C-9E96-1FA8C6331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l-GR" w:eastAsia="en-US" w:bidi="he-IL"/>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280</Words>
  <Characters>1515</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Ηλίας Κλάππας</dc:creator>
  <dc:description/>
  <cp:lastModifiedBy>Γραμματεία Προέδρου</cp:lastModifiedBy>
  <cp:revision>2</cp:revision>
  <cp:lastPrinted>2022-12-10T15:53:00Z</cp:lastPrinted>
  <dcterms:created xsi:type="dcterms:W3CDTF">2022-12-11T18:12:00Z</dcterms:created>
  <dcterms:modified xsi:type="dcterms:W3CDTF">2022-12-11T18:12:00Z</dcterms:modified>
</cp:coreProperties>
</file>