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8DB24" w14:textId="20963AD0" w:rsidR="009D03E1" w:rsidRPr="009D03E1" w:rsidRDefault="009D03E1" w:rsidP="009D03E1">
      <w:pPr>
        <w:pBdr>
          <w:bottom w:val="single" w:sz="6" w:space="0" w:color="CCCCCC"/>
        </w:pBdr>
        <w:spacing w:before="100" w:beforeAutospacing="1" w:after="100" w:afterAutospacing="1" w:line="240" w:lineRule="auto"/>
        <w:outlineLvl w:val="0"/>
        <w:rPr>
          <w:rFonts w:ascii="Times New Roman" w:eastAsia="Times New Roman" w:hAnsi="Times New Roman"/>
          <w:kern w:val="36"/>
          <w:sz w:val="48"/>
          <w:szCs w:val="48"/>
          <w:lang w:eastAsia="el-GR"/>
        </w:rPr>
      </w:pPr>
      <w:r w:rsidRPr="009D03E1">
        <w:rPr>
          <w:rFonts w:ascii="Times New Roman" w:eastAsia="Times New Roman" w:hAnsi="Times New Roman"/>
          <w:kern w:val="36"/>
          <w:sz w:val="48"/>
          <w:szCs w:val="48"/>
          <w:lang w:eastAsia="el-GR"/>
        </w:rPr>
        <w:t>ΑΠΟΧΗ ΔΙΚΗΓΟΡΩΝ ΓΙΑ ΤΟ ΔΙΚΑΣΤΙΚΟ ΧΑΡΤΗ</w:t>
      </w:r>
    </w:p>
    <w:p w14:paraId="43D11443" w14:textId="3B049121" w:rsidR="009D03E1" w:rsidRPr="009D03E1" w:rsidRDefault="009D03E1" w:rsidP="009D03E1">
      <w:pPr>
        <w:shd w:val="clear" w:color="auto" w:fill="FFFFFF"/>
        <w:spacing w:after="0" w:line="240" w:lineRule="auto"/>
        <w:rPr>
          <w:rFonts w:ascii="Helvetica" w:eastAsia="Times New Roman" w:hAnsi="Helvetica" w:cs="Helvetica"/>
          <w:color w:val="404040"/>
          <w:sz w:val="24"/>
          <w:szCs w:val="24"/>
          <w:lang w:eastAsia="el-GR"/>
        </w:rPr>
      </w:pPr>
      <w:hyperlink r:id="rId4" w:history="1">
        <w:r w:rsidRPr="009D03E1">
          <w:rPr>
            <w:rFonts w:ascii="Helvetica" w:eastAsia="Times New Roman" w:hAnsi="Helvetica" w:cs="Helvetica"/>
            <w:color w:val="056FCB"/>
            <w:sz w:val="24"/>
            <w:szCs w:val="24"/>
            <w:u w:val="single"/>
            <w:lang w:eastAsia="el-GR"/>
          </w:rPr>
          <w:t>Αποφάσεις Ολομέλειας</w:t>
        </w:r>
      </w:hyperlink>
    </w:p>
    <w:p w14:paraId="470326AE" w14:textId="5A4DF30B" w:rsidR="009D03E1" w:rsidRPr="009D03E1" w:rsidRDefault="009D03E1" w:rsidP="009D03E1">
      <w:pPr>
        <w:shd w:val="clear" w:color="auto" w:fill="FFFFFF"/>
        <w:spacing w:after="0" w:line="240" w:lineRule="auto"/>
        <w:rPr>
          <w:rFonts w:ascii="Helvetica" w:eastAsia="Times New Roman" w:hAnsi="Helvetica" w:cs="Helvetica"/>
          <w:color w:val="404040"/>
          <w:sz w:val="24"/>
          <w:szCs w:val="24"/>
          <w:lang w:eastAsia="el-GR"/>
        </w:rPr>
      </w:pPr>
      <w:r w:rsidRPr="009D03E1">
        <w:rPr>
          <w:rFonts w:ascii="Helvetica" w:eastAsia="Times New Roman" w:hAnsi="Helvetica" w:cs="Helvetica"/>
          <w:color w:val="404040"/>
          <w:sz w:val="24"/>
          <w:szCs w:val="24"/>
          <w:lang w:eastAsia="el-GR"/>
        </w:rPr>
        <w:t xml:space="preserve">20/04/2024 </w:t>
      </w:r>
    </w:p>
    <w:p w14:paraId="5EEFCC6F" w14:textId="17BCB052" w:rsidR="009D03E1" w:rsidRPr="009D03E1" w:rsidRDefault="009D03E1" w:rsidP="009D03E1">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9D03E1">
        <w:rPr>
          <w:rFonts w:ascii="Helvetica" w:eastAsia="Times New Roman" w:hAnsi="Helvetica" w:cs="Helvetica"/>
          <w:color w:val="404040"/>
          <w:sz w:val="24"/>
          <w:szCs w:val="24"/>
          <w:lang w:eastAsia="el-GR"/>
        </w:rPr>
        <w:t>Η Ολομέλεια των Προέδρων των Δικηγορικών Συλλόγων Ελλάδος, που συνεδρίασε σήμερα 20-4-2024 στην Αθήνα, εξέδωσε την ακόλουθη ανακοίνωση:</w:t>
      </w:r>
    </w:p>
    <w:p w14:paraId="30829564" w14:textId="5C310010" w:rsidR="009D03E1" w:rsidRPr="009D03E1" w:rsidRDefault="009D03E1" w:rsidP="009D03E1">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9D03E1">
        <w:rPr>
          <w:rFonts w:ascii="Helvetica" w:eastAsia="Times New Roman" w:hAnsi="Helvetica" w:cs="Helvetica"/>
          <w:b/>
          <w:bCs/>
          <w:color w:val="404040"/>
          <w:sz w:val="24"/>
          <w:szCs w:val="24"/>
          <w:lang w:eastAsia="el-GR"/>
        </w:rPr>
        <w:t>Α. ΔΙΚΑΣΤΙΚΟΣ ΧΑΡΤΗΣ</w:t>
      </w:r>
      <w:r w:rsidRPr="009D03E1">
        <w:rPr>
          <w:rFonts w:ascii="Helvetica" w:eastAsia="Times New Roman" w:hAnsi="Helvetica" w:cs="Helvetica"/>
          <w:color w:val="404040"/>
          <w:sz w:val="24"/>
          <w:szCs w:val="24"/>
          <w:lang w:eastAsia="el-GR"/>
        </w:rPr>
        <w:br/>
        <w:t>Η αποτελεσματική άσκηση του δικαιώματος δικαστικής προστασίας των πολιτών και η ορθή και ταχεία απονομή της Δικαιοσύνης αποτελούν κύρια χαρακτηριστικά του Κράτους Δικαίου και βασική προτεραιότητα για το δικηγορικό σώμα.</w:t>
      </w:r>
      <w:r w:rsidRPr="009D03E1">
        <w:rPr>
          <w:rFonts w:ascii="Helvetica" w:eastAsia="Times New Roman" w:hAnsi="Helvetica" w:cs="Helvetica"/>
          <w:color w:val="404040"/>
          <w:sz w:val="24"/>
          <w:szCs w:val="24"/>
          <w:lang w:eastAsia="el-GR"/>
        </w:rPr>
        <w:br/>
        <w:t xml:space="preserve">Η Ολομέλεια θεωρεί ότι η ενοποίηση του πρώτου βαθμού δικαιοδοσίας μπορεί να συμβάλει στην κατεύθυνση της επιτάχυνσης της απονομής της Δικαιοσύνης, υπό την απαραίτητη προϋπόθεση </w:t>
      </w:r>
      <w:r w:rsidR="00EA3C92">
        <w:rPr>
          <w:rFonts w:ascii="Helvetica" w:eastAsia="Times New Roman" w:hAnsi="Helvetica" w:cs="Helvetica"/>
          <w:color w:val="404040"/>
          <w:sz w:val="24"/>
          <w:szCs w:val="24"/>
          <w:lang w:eastAsia="el-GR"/>
        </w:rPr>
        <w:t xml:space="preserve">της </w:t>
      </w:r>
      <w:r w:rsidRPr="009D03E1">
        <w:rPr>
          <w:rFonts w:ascii="Helvetica" w:eastAsia="Times New Roman" w:hAnsi="Helvetica" w:cs="Helvetica"/>
          <w:color w:val="404040"/>
          <w:sz w:val="24"/>
          <w:szCs w:val="24"/>
          <w:lang w:eastAsia="el-GR"/>
        </w:rPr>
        <w:t>επέκτασης της ηλεκτρονικής δικαιοσύνης, της κατάλληλης επιμόρφωσης των ειρηνοδικών και της ύπαρξης των απαραίτητων υλικοτεχνικών υποδομών.</w:t>
      </w:r>
      <w:r w:rsidRPr="009D03E1">
        <w:rPr>
          <w:rFonts w:ascii="Helvetica" w:eastAsia="Times New Roman" w:hAnsi="Helvetica" w:cs="Helvetica"/>
          <w:color w:val="404040"/>
          <w:sz w:val="24"/>
          <w:szCs w:val="24"/>
          <w:lang w:eastAsia="el-GR"/>
        </w:rPr>
        <w:br/>
        <w:t xml:space="preserve">Οι λοιπές όμως προωθούμενες ρυθμίσεις ως προς την αναδιάταξη του δικαστικού χάρτη δεν οδηγούν στην επιτάχυνση της Δικαιοσύνης. Χωρίς την προηγούμενη </w:t>
      </w:r>
      <w:proofErr w:type="spellStart"/>
      <w:r w:rsidRPr="009D03E1">
        <w:rPr>
          <w:rFonts w:ascii="Helvetica" w:eastAsia="Times New Roman" w:hAnsi="Helvetica" w:cs="Helvetica"/>
          <w:color w:val="404040"/>
          <w:sz w:val="24"/>
          <w:szCs w:val="24"/>
          <w:lang w:eastAsia="el-GR"/>
        </w:rPr>
        <w:t>ψηφιοποίηση</w:t>
      </w:r>
      <w:proofErr w:type="spellEnd"/>
      <w:r w:rsidRPr="009D03E1">
        <w:rPr>
          <w:rFonts w:ascii="Helvetica" w:eastAsia="Times New Roman" w:hAnsi="Helvetica" w:cs="Helvetica"/>
          <w:color w:val="404040"/>
          <w:sz w:val="24"/>
          <w:szCs w:val="24"/>
          <w:lang w:eastAsia="el-GR"/>
        </w:rPr>
        <w:t xml:space="preserve"> της Δικαιοσύνης, χωρίς τη δημιουργία των απαραίτητων υλικοτεχνικών υποδομών και χωρίς την πρόσληψη του αναγκαίου αριθμού δικαστικών υπαλλήλων δεν είναι δυνατόν να επιταχυνθεί ο επιδιωκόμενος σκοπός και ο εκσυγχρονισμός της Δικαιοσύνης.</w:t>
      </w:r>
    </w:p>
    <w:p w14:paraId="1CA9F9B8" w14:textId="563C11B6" w:rsidR="009D03E1" w:rsidRPr="009D03E1" w:rsidRDefault="009D03E1" w:rsidP="009D03E1">
      <w:pPr>
        <w:shd w:val="clear" w:color="auto" w:fill="FFFFFF"/>
        <w:spacing w:before="100" w:beforeAutospacing="1" w:after="100" w:afterAutospacing="1" w:line="240" w:lineRule="auto"/>
        <w:rPr>
          <w:rFonts w:ascii="Helvetica" w:eastAsia="Times New Roman" w:hAnsi="Helvetica" w:cs="Helvetica"/>
          <w:color w:val="404040"/>
          <w:sz w:val="24"/>
          <w:szCs w:val="24"/>
          <w:lang w:eastAsia="el-GR"/>
        </w:rPr>
      </w:pPr>
      <w:r w:rsidRPr="009D03E1">
        <w:rPr>
          <w:rFonts w:ascii="Helvetica" w:eastAsia="Times New Roman" w:hAnsi="Helvetica" w:cs="Helvetica"/>
          <w:color w:val="404040"/>
          <w:sz w:val="24"/>
          <w:szCs w:val="24"/>
          <w:lang w:eastAsia="el-GR"/>
        </w:rPr>
        <w:t> Στον τομέα αυτό η Κυβέρνηση δεν έχει επιδείξει μηδαμινή καμία πρόοδο.</w:t>
      </w:r>
      <w:r w:rsidRPr="009D03E1">
        <w:rPr>
          <w:rFonts w:ascii="Helvetica" w:eastAsia="Times New Roman" w:hAnsi="Helvetica" w:cs="Helvetica"/>
          <w:color w:val="404040"/>
          <w:sz w:val="24"/>
          <w:szCs w:val="24"/>
          <w:lang w:eastAsia="el-GR"/>
        </w:rPr>
        <w:br/>
        <w:t>Είναι προφανές ότι, υπό τους όρους που προωθείται η αναδιάταξη του δικαστικού χάρτη της χώρας, τη μόνη ανάγκη που ικανοποιεί είναι η συμμόρφωση της χώρας στις επιταγές του Ταμείου Ανάκαμψης για την</w:t>
      </w:r>
      <w:r w:rsidRPr="009D03E1">
        <w:rPr>
          <w:rFonts w:ascii="Helvetica" w:eastAsia="Times New Roman" w:hAnsi="Helvetica" w:cs="Helvetica"/>
          <w:color w:val="404040"/>
          <w:sz w:val="24"/>
          <w:szCs w:val="24"/>
          <w:lang w:eastAsia="el-GR"/>
        </w:rPr>
        <w:br/>
        <w:t xml:space="preserve">εκταμίευση των σχετικών πόρων- οι οποίοι </w:t>
      </w:r>
      <w:proofErr w:type="spellStart"/>
      <w:r w:rsidRPr="009D03E1">
        <w:rPr>
          <w:rFonts w:ascii="Helvetica" w:eastAsia="Times New Roman" w:hAnsi="Helvetica" w:cs="Helvetica"/>
          <w:color w:val="404040"/>
          <w:sz w:val="24"/>
          <w:szCs w:val="24"/>
          <w:lang w:eastAsia="el-GR"/>
        </w:rPr>
        <w:t>σημειωτέον</w:t>
      </w:r>
      <w:proofErr w:type="spellEnd"/>
      <w:r w:rsidRPr="009D03E1">
        <w:rPr>
          <w:rFonts w:ascii="Helvetica" w:eastAsia="Times New Roman" w:hAnsi="Helvetica" w:cs="Helvetica"/>
          <w:color w:val="404040"/>
          <w:sz w:val="24"/>
          <w:szCs w:val="24"/>
          <w:lang w:eastAsia="el-GR"/>
        </w:rPr>
        <w:t xml:space="preserve"> δεν θα κατευθυνθούν στις ανάγκες κάλυψης των ελλείψεων υλικοτεχνικής υποδομής της ελληνικής Δικαιοσύνης.</w:t>
      </w:r>
      <w:r w:rsidRPr="009D03E1">
        <w:rPr>
          <w:rFonts w:ascii="Helvetica" w:eastAsia="Times New Roman" w:hAnsi="Helvetica" w:cs="Helvetica"/>
          <w:color w:val="404040"/>
          <w:sz w:val="24"/>
          <w:szCs w:val="24"/>
          <w:lang w:eastAsia="el-GR"/>
        </w:rPr>
        <w:br/>
        <w:t xml:space="preserve">Η Ολομέλεια επαναλαμβάνει την πάγια θέση της για την διατήρηση όλων των Πρωτοδικείων της Χώρας ως έχουν σήμερα και εκφράζει την έντονη αντίθεσή της στις προωθούμενες ρυθμίσεις για την λειτουργία των «Παράλληλων Πρωτοδικείων», επισημαίνοντας ότι, πέραν της υποβάθμισης των συγκεκριμένων δικαστικών </w:t>
      </w:r>
      <w:proofErr w:type="spellStart"/>
      <w:r w:rsidRPr="009D03E1">
        <w:rPr>
          <w:rFonts w:ascii="Helvetica" w:eastAsia="Times New Roman" w:hAnsi="Helvetica" w:cs="Helvetica"/>
          <w:color w:val="404040"/>
          <w:sz w:val="24"/>
          <w:szCs w:val="24"/>
          <w:lang w:eastAsia="el-GR"/>
        </w:rPr>
        <w:t>σχηματισμών,σε</w:t>
      </w:r>
      <w:proofErr w:type="spellEnd"/>
      <w:r w:rsidRPr="009D03E1">
        <w:rPr>
          <w:rFonts w:ascii="Helvetica" w:eastAsia="Times New Roman" w:hAnsi="Helvetica" w:cs="Helvetica"/>
          <w:color w:val="404040"/>
          <w:sz w:val="24"/>
          <w:szCs w:val="24"/>
          <w:lang w:eastAsia="el-GR"/>
        </w:rPr>
        <w:t xml:space="preserve"> συνδυασμό με την λειτουργία των Περιφερειακών Πρωτοδικείων, δημιουργούνται μείζονα προβλήματα στη διαδικασία απονομής της Δικαιοσύνης ιδίως ως προς τη λειτουργία της εισαγγελικής αρχής</w:t>
      </w:r>
      <w:r w:rsidR="00EA3C92">
        <w:rPr>
          <w:rFonts w:ascii="Helvetica" w:eastAsia="Times New Roman" w:hAnsi="Helvetica" w:cs="Helvetica"/>
          <w:color w:val="404040"/>
          <w:sz w:val="24"/>
          <w:szCs w:val="24"/>
          <w:lang w:eastAsia="el-GR"/>
        </w:rPr>
        <w:t xml:space="preserve"> </w:t>
      </w:r>
      <w:r w:rsidRPr="009D03E1">
        <w:rPr>
          <w:rFonts w:ascii="Helvetica" w:eastAsia="Times New Roman" w:hAnsi="Helvetica" w:cs="Helvetica"/>
          <w:color w:val="404040"/>
          <w:sz w:val="24"/>
          <w:szCs w:val="24"/>
          <w:lang w:eastAsia="el-GR"/>
        </w:rPr>
        <w:t>(πρόβλεψη οργανικών θέσεων εισαγγελέων) και την άσκηση των ενδίκων μέσων.</w:t>
      </w:r>
      <w:r w:rsidRPr="009D03E1">
        <w:rPr>
          <w:rFonts w:ascii="Helvetica" w:eastAsia="Times New Roman" w:hAnsi="Helvetica" w:cs="Helvetica"/>
          <w:color w:val="404040"/>
          <w:sz w:val="24"/>
          <w:szCs w:val="24"/>
          <w:lang w:eastAsia="el-GR"/>
        </w:rPr>
        <w:br/>
        <w:t xml:space="preserve">Τα Πρωτοδικεία Μεσολογγίου, Αιγίου, Αμαλιάδας, </w:t>
      </w:r>
      <w:proofErr w:type="spellStart"/>
      <w:r w:rsidRPr="009D03E1">
        <w:rPr>
          <w:rFonts w:ascii="Helvetica" w:eastAsia="Times New Roman" w:hAnsi="Helvetica" w:cs="Helvetica"/>
          <w:color w:val="404040"/>
          <w:sz w:val="24"/>
          <w:szCs w:val="24"/>
          <w:lang w:eastAsia="el-GR"/>
        </w:rPr>
        <w:t>Γυθείου</w:t>
      </w:r>
      <w:proofErr w:type="spellEnd"/>
      <w:r w:rsidRPr="009D03E1">
        <w:rPr>
          <w:rFonts w:ascii="Helvetica" w:eastAsia="Times New Roman" w:hAnsi="Helvetica" w:cs="Helvetica"/>
          <w:color w:val="404040"/>
          <w:sz w:val="24"/>
          <w:szCs w:val="24"/>
          <w:lang w:eastAsia="el-GR"/>
        </w:rPr>
        <w:t>,  Θηβών, Καλαβρύτων και Κυπαρισσίας πρέπει να παραμείνουν ως έχουν.</w:t>
      </w:r>
      <w:r w:rsidRPr="009D03E1">
        <w:rPr>
          <w:rFonts w:ascii="Helvetica" w:eastAsia="Times New Roman" w:hAnsi="Helvetica" w:cs="Helvetica"/>
          <w:color w:val="404040"/>
          <w:sz w:val="24"/>
          <w:szCs w:val="24"/>
          <w:lang w:eastAsia="el-GR"/>
        </w:rPr>
        <w:br/>
        <w:t>Η Ολομέλεια εκφράζει επίσης, την έντονη αντίθεσή της στην επιχειρούμενη διάσπαση των Πρωτοδικείων Αθηνών και Πειραιώς με την δημιουργία έξι (6) Περιφερειακών Πρωτοδικείων στην Αττική (πέραν</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color w:val="404040"/>
          <w:sz w:val="24"/>
          <w:szCs w:val="24"/>
          <w:lang w:eastAsia="el-GR"/>
        </w:rPr>
        <w:lastRenderedPageBreak/>
        <w:t>των υφιστάμενων Πρωτοδικείων Αθηνών και Πειραιά), με αρμοδιότητα Μονομελούς Πρωτοδικείου, στη θέση των καταργούμενων Ειρηνοδικείων, γεγονός που δημιουργεί ιδιαίτερες δυσκολίες έως και αντικειμενική αδυναμία άσκησης του δικηγορικού επαγγέλματος ιδίως στους νέους δικηγόρους και στους δικηγόρους που δεν έχουν την δυνατότητα απασχόλησης συνεργατών.</w:t>
      </w:r>
      <w:r w:rsidRPr="009D03E1">
        <w:rPr>
          <w:rFonts w:ascii="Helvetica" w:eastAsia="Times New Roman" w:hAnsi="Helvetica" w:cs="Helvetica"/>
          <w:color w:val="404040"/>
          <w:sz w:val="24"/>
          <w:szCs w:val="24"/>
          <w:lang w:eastAsia="el-GR"/>
        </w:rPr>
        <w:br/>
        <w:t>Η επιχειρούμενη «μεταρρύθμιση» πραγματοποιείται υπό ακόμη χειρότερους όρους από την απόπειρα τριχοτόμησης του Πρωτοδικείου Αθηνών επί Υπουργίας Κοντονή αφενός μεν λόγω της περαιτέρω</w:t>
      </w:r>
      <w:r w:rsidR="003D7F82">
        <w:rPr>
          <w:rFonts w:ascii="Helvetica" w:eastAsia="Times New Roman" w:hAnsi="Helvetica" w:cs="Helvetica"/>
          <w:color w:val="404040"/>
          <w:sz w:val="24"/>
          <w:szCs w:val="24"/>
          <w:lang w:eastAsia="el-GR"/>
        </w:rPr>
        <w:t xml:space="preserve"> </w:t>
      </w:r>
      <w:r w:rsidRPr="009D03E1">
        <w:rPr>
          <w:rFonts w:ascii="Helvetica" w:eastAsia="Times New Roman" w:hAnsi="Helvetica" w:cs="Helvetica"/>
          <w:color w:val="404040"/>
          <w:sz w:val="24"/>
          <w:szCs w:val="24"/>
          <w:lang w:eastAsia="el-GR"/>
        </w:rPr>
        <w:t>πολυδιάσπασης των Πρωτοδικείων Αθηνών και Πειραιώς (8 συνολικά δικαστικοί σχηματισμοί) και αφετέρου καθώς τα δημιουργούμενα Περιφερειακά Πρωτοδικεία στερούνται των βασικών υποδομών και προσωπικού, αλλά κυρίως δεν έχει προωθηθεί η ψηφιακή Δικαιοσύνη σε αυτά.</w:t>
      </w:r>
      <w:r w:rsidRPr="009D03E1">
        <w:rPr>
          <w:rFonts w:ascii="Helvetica" w:eastAsia="Times New Roman" w:hAnsi="Helvetica" w:cs="Helvetica"/>
          <w:color w:val="404040"/>
          <w:sz w:val="24"/>
          <w:szCs w:val="24"/>
          <w:lang w:eastAsia="el-GR"/>
        </w:rPr>
        <w:br/>
        <w:t>Η αναδιάταξη του δικαστικού χάρτη στην Αττική δεν αφορά μόνο τους Δικηγόρους Αθηνών και Πειραιώς αλλά όλους τους δικηγόρους όλης της χώρας, οι οποίοι, στο πλαίσιο της ελεύθερης μετακίνησης, ασκούν το επάγγελμά τους και στο λεκανοπέδιο της Αττικής και θα υποστούν τις δυσμενείς συνέπειες της πολυδιάσπασης των Πρωτοδικείων Αθηνών και Πειραιώς.</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Κατόπιν αυτών, η Ολομέλεια αποφάσισε να προτείνει στα Διοικητικά Συμβούλια των Δικηγορικών Συλλόγων της χώρας την καθολική αποχή των μελών τους από την Τρίτη 23.42024 μέχρι και την Μεγάλη Τρίτη 30.4.2024.</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Ως πλαίσιο της αποχής προτείνεται το ακόλουθο:</w:t>
      </w:r>
      <w:r w:rsidRPr="009D03E1">
        <w:rPr>
          <w:rFonts w:ascii="Helvetica" w:eastAsia="Times New Roman" w:hAnsi="Helvetica" w:cs="Helvetica"/>
          <w:b/>
          <w:bCs/>
          <w:color w:val="404040"/>
          <w:sz w:val="24"/>
          <w:szCs w:val="24"/>
          <w:lang w:eastAsia="el-GR"/>
        </w:rPr>
        <w:br/>
        <w:t>Άδειες θα χορηγούνται αποκλειστικά και μόνο:</w:t>
      </w:r>
    </w:p>
    <w:p w14:paraId="3FDDB9E5" w14:textId="3620CDD4" w:rsidR="009D03E1" w:rsidRPr="009D03E1" w:rsidRDefault="009D03E1" w:rsidP="009D03E1">
      <w:pPr>
        <w:shd w:val="clear" w:color="auto" w:fill="FFFFFF"/>
        <w:spacing w:after="0" w:line="240" w:lineRule="auto"/>
        <w:rPr>
          <w:rFonts w:ascii="Helvetica" w:eastAsia="Times New Roman" w:hAnsi="Helvetica" w:cs="Helvetica"/>
          <w:color w:val="404040"/>
          <w:sz w:val="24"/>
          <w:szCs w:val="24"/>
          <w:lang w:eastAsia="el-GR"/>
        </w:rPr>
      </w:pPr>
      <w:r w:rsidRPr="009D03E1">
        <w:rPr>
          <w:rFonts w:ascii="Helvetica" w:eastAsia="Times New Roman" w:hAnsi="Helvetica" w:cs="Helvetica"/>
          <w:color w:val="404040"/>
          <w:sz w:val="24"/>
          <w:szCs w:val="24"/>
          <w:lang w:eastAsia="el-GR"/>
        </w:rPr>
        <w:t xml:space="preserve">- Σε περιπτώσεις παραγραφών και αποσβεστικών </w:t>
      </w:r>
      <w:proofErr w:type="spellStart"/>
      <w:r w:rsidRPr="009D03E1">
        <w:rPr>
          <w:rFonts w:ascii="Helvetica" w:eastAsia="Times New Roman" w:hAnsi="Helvetica" w:cs="Helvetica"/>
          <w:color w:val="404040"/>
          <w:sz w:val="24"/>
          <w:szCs w:val="24"/>
          <w:lang w:eastAsia="el-GR"/>
        </w:rPr>
        <w:t>προθεσμιών,διοικητικές</w:t>
      </w:r>
      <w:proofErr w:type="spellEnd"/>
      <w:r w:rsidRPr="009D03E1">
        <w:rPr>
          <w:rFonts w:ascii="Helvetica" w:eastAsia="Times New Roman" w:hAnsi="Helvetica" w:cs="Helvetica"/>
          <w:color w:val="404040"/>
          <w:sz w:val="24"/>
          <w:szCs w:val="24"/>
          <w:lang w:eastAsia="el-GR"/>
        </w:rPr>
        <w:t xml:space="preserve"> υποθέσεις ενώπιον των Δικαστηρίων, σε περιπτώσεις λήξης των προθεσμιών για άσκηση προσφυγών ενώπιον των Διοικητικών</w:t>
      </w:r>
      <w:r w:rsidR="003D7F82">
        <w:rPr>
          <w:rFonts w:ascii="Helvetica" w:eastAsia="Times New Roman" w:hAnsi="Helvetica" w:cs="Helvetica"/>
          <w:color w:val="404040"/>
          <w:sz w:val="24"/>
          <w:szCs w:val="24"/>
          <w:lang w:eastAsia="el-GR"/>
        </w:rPr>
        <w:t xml:space="preserve"> </w:t>
      </w:r>
      <w:r w:rsidRPr="009D03E1">
        <w:rPr>
          <w:rFonts w:ascii="Helvetica" w:eastAsia="Times New Roman" w:hAnsi="Helvetica" w:cs="Helvetica"/>
          <w:color w:val="404040"/>
          <w:sz w:val="24"/>
          <w:szCs w:val="24"/>
          <w:lang w:eastAsia="el-GR"/>
        </w:rPr>
        <w:t xml:space="preserve">Αρχών, καθώς και σε περιπτώσεις προθεσμιών του Κώδικα Μετανάστευσης (λήξεις αδειών παραμονής, θεωρήσεις εισόδου, </w:t>
      </w:r>
      <w:proofErr w:type="spellStart"/>
      <w:r w:rsidRPr="009D03E1">
        <w:rPr>
          <w:rFonts w:ascii="Helvetica" w:eastAsia="Times New Roman" w:hAnsi="Helvetica" w:cs="Helvetica"/>
          <w:color w:val="404040"/>
          <w:sz w:val="24"/>
          <w:szCs w:val="24"/>
          <w:lang w:eastAsia="el-GR"/>
        </w:rPr>
        <w:t>κλπ</w:t>
      </w:r>
      <w:proofErr w:type="spellEnd"/>
      <w:r w:rsidRPr="009D03E1">
        <w:rPr>
          <w:rFonts w:ascii="Helvetica" w:eastAsia="Times New Roman" w:hAnsi="Helvetica" w:cs="Helvetica"/>
          <w:color w:val="404040"/>
          <w:sz w:val="24"/>
          <w:szCs w:val="24"/>
          <w:lang w:eastAsia="el-GR"/>
        </w:rPr>
        <w:t>).</w:t>
      </w:r>
      <w:r w:rsidRPr="009D03E1">
        <w:rPr>
          <w:rFonts w:ascii="Helvetica" w:eastAsia="Times New Roman" w:hAnsi="Helvetica" w:cs="Helvetica"/>
          <w:color w:val="404040"/>
          <w:sz w:val="24"/>
          <w:szCs w:val="24"/>
          <w:lang w:eastAsia="el-GR"/>
        </w:rPr>
        <w:br/>
        <w:t>- Στις ποινικές υποθέσεις, στα πλημμελήματα συμπληρωμένα έξι (6) έτη στον α’ βαθμό και επτά (7) έτη στον β’ βαθμό και στα κακουργήματα συμπληρωμένα δεκαπέντε (15) έτη στον α΄ βαθμό και δεκαοκτώ (18) έτη</w:t>
      </w:r>
      <w:r w:rsidRPr="009D03E1">
        <w:rPr>
          <w:rFonts w:ascii="Helvetica" w:eastAsia="Times New Roman" w:hAnsi="Helvetica" w:cs="Helvetica"/>
          <w:color w:val="404040"/>
          <w:sz w:val="24"/>
          <w:szCs w:val="24"/>
          <w:lang w:eastAsia="el-GR"/>
        </w:rPr>
        <w:br/>
        <w:t>στο β’ βαθμό.</w:t>
      </w:r>
      <w:r w:rsidRPr="009D03E1">
        <w:rPr>
          <w:rFonts w:ascii="Helvetica" w:eastAsia="Times New Roman" w:hAnsi="Helvetica" w:cs="Helvetica"/>
          <w:color w:val="404040"/>
          <w:sz w:val="24"/>
          <w:szCs w:val="24"/>
          <w:lang w:eastAsia="el-GR"/>
        </w:rPr>
        <w:br/>
        <w:t>- Σε ποινικές δίκες β’ βαθμού με κρατούμενο, συνεπεία πρωτοβάθμιας καταδικαστικής απόφασης.</w:t>
      </w:r>
      <w:r w:rsidRPr="009D03E1">
        <w:rPr>
          <w:rFonts w:ascii="Helvetica" w:eastAsia="Times New Roman" w:hAnsi="Helvetica" w:cs="Helvetica"/>
          <w:color w:val="404040"/>
          <w:sz w:val="24"/>
          <w:szCs w:val="24"/>
          <w:lang w:eastAsia="el-GR"/>
        </w:rPr>
        <w:br/>
        <w:t>- Σε περιπτώσεις προσωρινά κρατουμένων, εν’ όψει της συμπλήρωσης προσωρινής κράτησης. Συμπληρωμένοι δέκα μήνες σε περίπτωση δωδεκαμήνου και δεκαπέντε μήνες σε περίπτωση δεκαοκτάμηνου.</w:t>
      </w:r>
      <w:r w:rsidRPr="009D03E1">
        <w:rPr>
          <w:rFonts w:ascii="Helvetica" w:eastAsia="Times New Roman" w:hAnsi="Helvetica" w:cs="Helvetica"/>
          <w:color w:val="404040"/>
          <w:sz w:val="24"/>
          <w:szCs w:val="24"/>
          <w:lang w:eastAsia="el-GR"/>
        </w:rPr>
        <w:br/>
        <w:t>- Σε Αναστολές και Ανακοπές κατά πλειστηριασμών όταν επίκειται άμεσα ο πλειστηριασμός.</w:t>
      </w:r>
      <w:r w:rsidRPr="009D03E1">
        <w:rPr>
          <w:rFonts w:ascii="Helvetica" w:eastAsia="Times New Roman" w:hAnsi="Helvetica" w:cs="Helvetica"/>
          <w:color w:val="404040"/>
          <w:sz w:val="24"/>
          <w:szCs w:val="24"/>
          <w:lang w:eastAsia="el-GR"/>
        </w:rPr>
        <w:br/>
        <w:t>- Σε Αντιρρήσεις, ενώπιον Διοικητικών Δικαστηρίων, μόνο όταν επίκειται άμεση απέλαση αλλοδαπού και αποδεικνύεται από έγγραφα.</w:t>
      </w:r>
      <w:r w:rsidRPr="009D03E1">
        <w:rPr>
          <w:rFonts w:ascii="Helvetica" w:eastAsia="Times New Roman" w:hAnsi="Helvetica" w:cs="Helvetica"/>
          <w:color w:val="404040"/>
          <w:sz w:val="24"/>
          <w:szCs w:val="24"/>
          <w:lang w:eastAsia="el-GR"/>
        </w:rPr>
        <w:br/>
        <w:t>- Σε εκδίκαση προσωρινών διαταγών καταφανώς και άκρως  κατεπειγουσών περιπτώσεων.</w:t>
      </w:r>
      <w:r w:rsidRPr="009D03E1">
        <w:rPr>
          <w:rFonts w:ascii="Helvetica" w:eastAsia="Times New Roman" w:hAnsi="Helvetica" w:cs="Helvetica"/>
          <w:color w:val="404040"/>
          <w:sz w:val="24"/>
          <w:szCs w:val="24"/>
          <w:lang w:eastAsia="el-GR"/>
        </w:rPr>
        <w:br/>
        <w:t>- Σε ένορκες βεβαιώσεις, μόνο εφόσον υπάρχει κίνδυνος παρόδου προθεσμίας.</w:t>
      </w:r>
      <w:r w:rsidRPr="009D03E1">
        <w:rPr>
          <w:rFonts w:ascii="Helvetica" w:eastAsia="Times New Roman" w:hAnsi="Helvetica" w:cs="Helvetica"/>
          <w:color w:val="404040"/>
          <w:sz w:val="24"/>
          <w:szCs w:val="24"/>
          <w:lang w:eastAsia="el-GR"/>
        </w:rPr>
        <w:br/>
        <w:t>- Σε υποχρεωτική αρχική συνεδρία (ΥΑΣ) Διαμεσολάβησης:</w:t>
      </w:r>
      <w:r w:rsidRPr="009D03E1">
        <w:rPr>
          <w:rFonts w:ascii="Helvetica" w:eastAsia="Times New Roman" w:hAnsi="Helvetica" w:cs="Helvetica"/>
          <w:color w:val="404040"/>
          <w:sz w:val="24"/>
          <w:szCs w:val="24"/>
          <w:lang w:eastAsia="el-GR"/>
        </w:rPr>
        <w:br/>
        <w:t>i) για τις υποθέσεις στις οποίες έχει ήδη υποβληθεί αίτημα στο Διαμεσολαβητή και</w:t>
      </w:r>
      <w:r w:rsidRPr="009D03E1">
        <w:rPr>
          <w:rFonts w:ascii="Helvetica" w:eastAsia="Times New Roman" w:hAnsi="Helvetica" w:cs="Helvetica"/>
          <w:color w:val="404040"/>
          <w:sz w:val="24"/>
          <w:szCs w:val="24"/>
          <w:lang w:eastAsia="el-GR"/>
        </w:rPr>
        <w:br/>
      </w:r>
      <w:proofErr w:type="spellStart"/>
      <w:r w:rsidRPr="009D03E1">
        <w:rPr>
          <w:rFonts w:ascii="Helvetica" w:eastAsia="Times New Roman" w:hAnsi="Helvetica" w:cs="Helvetica"/>
          <w:color w:val="404040"/>
          <w:sz w:val="24"/>
          <w:szCs w:val="24"/>
          <w:lang w:eastAsia="el-GR"/>
        </w:rPr>
        <w:lastRenderedPageBreak/>
        <w:t>ii</w:t>
      </w:r>
      <w:proofErr w:type="spellEnd"/>
      <w:r w:rsidRPr="009D03E1">
        <w:rPr>
          <w:rFonts w:ascii="Helvetica" w:eastAsia="Times New Roman" w:hAnsi="Helvetica" w:cs="Helvetica"/>
          <w:color w:val="404040"/>
          <w:sz w:val="24"/>
          <w:szCs w:val="24"/>
          <w:lang w:eastAsia="el-GR"/>
        </w:rPr>
        <w:t>) για τις υποθέσεις της νέας τακτικής όπου τίθεται ζήτημα προθεσμίας κατάθεσης προτάσεων και</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Ρητά διευκρινίζεται ότι κατά την διάρκεια της αποχής:</w:t>
      </w:r>
      <w:r w:rsidRPr="009D03E1">
        <w:rPr>
          <w:rFonts w:ascii="Helvetica" w:eastAsia="Times New Roman" w:hAnsi="Helvetica" w:cs="Helvetica"/>
          <w:color w:val="404040"/>
          <w:sz w:val="24"/>
          <w:szCs w:val="24"/>
          <w:lang w:eastAsia="el-GR"/>
        </w:rPr>
        <w:br/>
        <w:t>- Δεν θα γίνονται καταθέσεις δικογράφων ενδίκων μέσων και βοηθημάτων, εκτός ασφαλιστικών μέτρων όταν σωρεύεται αίτημα χορήγησης προσωρινής διαταγής καταφανώς και άκρως κατεπειγουσών περιπτώσεων.</w:t>
      </w:r>
      <w:r w:rsidRPr="009D03E1">
        <w:rPr>
          <w:rFonts w:ascii="Helvetica" w:eastAsia="Times New Roman" w:hAnsi="Helvetica" w:cs="Helvetica"/>
          <w:color w:val="404040"/>
          <w:sz w:val="24"/>
          <w:szCs w:val="24"/>
          <w:lang w:eastAsia="el-GR"/>
        </w:rPr>
        <w:br/>
        <w:t>-</w:t>
      </w:r>
      <w:r w:rsidRPr="009D03E1">
        <w:rPr>
          <w:rFonts w:ascii="Helvetica" w:eastAsia="Times New Roman" w:hAnsi="Helvetica" w:cs="Helvetica"/>
          <w:b/>
          <w:bCs/>
          <w:color w:val="404040"/>
          <w:sz w:val="24"/>
          <w:szCs w:val="24"/>
          <w:lang w:eastAsia="el-GR"/>
        </w:rPr>
        <w:t> Δεν θα χορηγούνται άδειες:</w:t>
      </w:r>
      <w:r w:rsidRPr="009D03E1">
        <w:rPr>
          <w:rFonts w:ascii="Helvetica" w:eastAsia="Times New Roman" w:hAnsi="Helvetica" w:cs="Helvetica"/>
          <w:color w:val="404040"/>
          <w:sz w:val="24"/>
          <w:szCs w:val="24"/>
          <w:lang w:eastAsia="el-GR"/>
        </w:rPr>
        <w:br/>
        <w:t>α) Για αιτήσεις αναστολής και</w:t>
      </w:r>
      <w:r w:rsidRPr="009D03E1">
        <w:rPr>
          <w:rFonts w:ascii="Helvetica" w:eastAsia="Times New Roman" w:hAnsi="Helvetica" w:cs="Helvetica"/>
          <w:color w:val="404040"/>
          <w:sz w:val="24"/>
          <w:szCs w:val="24"/>
          <w:lang w:eastAsia="el-GR"/>
        </w:rPr>
        <w:br/>
        <w:t>β) Για αυτόφωρα και συνοδείες.</w:t>
      </w:r>
      <w:r w:rsidRPr="009D03E1">
        <w:rPr>
          <w:rFonts w:ascii="Helvetica" w:eastAsia="Times New Roman" w:hAnsi="Helvetica" w:cs="Helvetica"/>
          <w:color w:val="404040"/>
          <w:sz w:val="24"/>
          <w:szCs w:val="24"/>
          <w:lang w:eastAsia="el-GR"/>
        </w:rPr>
        <w:br/>
        <w:t>- Δεν θα διενεργούνται επιδόσεις δικογράφων και αποφάσεων και κατασχέσεις εις χείρας τρίτου.</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Η αποχή καταλαμβάνει:</w:t>
      </w:r>
      <w:r w:rsidRPr="009D03E1">
        <w:rPr>
          <w:rFonts w:ascii="Helvetica" w:eastAsia="Times New Roman" w:hAnsi="Helvetica" w:cs="Helvetica"/>
          <w:color w:val="404040"/>
          <w:sz w:val="24"/>
          <w:szCs w:val="24"/>
          <w:lang w:eastAsia="el-GR"/>
        </w:rPr>
        <w:br/>
        <w:t>- Τα συναινετικά διαζύγια</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Άδεια δεν απαιτείται:</w:t>
      </w:r>
      <w:r w:rsidRPr="009D03E1">
        <w:rPr>
          <w:rFonts w:ascii="Helvetica" w:eastAsia="Times New Roman" w:hAnsi="Helvetica" w:cs="Helvetica"/>
          <w:color w:val="404040"/>
          <w:sz w:val="24"/>
          <w:szCs w:val="24"/>
          <w:lang w:eastAsia="el-GR"/>
        </w:rPr>
        <w:br/>
        <w:t>α) Για την κατάθεση προτάσεων και προσθήκης αντίκρουσης στην τακτική διαδικασία,</w:t>
      </w:r>
      <w:r w:rsidRPr="009D03E1">
        <w:rPr>
          <w:rFonts w:ascii="Helvetica" w:eastAsia="Times New Roman" w:hAnsi="Helvetica" w:cs="Helvetica"/>
          <w:color w:val="404040"/>
          <w:sz w:val="24"/>
          <w:szCs w:val="24"/>
          <w:lang w:eastAsia="el-GR"/>
        </w:rPr>
        <w:br/>
        <w:t>β) Για την κατάθεση προτάσεων και συζήτηση μικροδιαφορών και</w:t>
      </w:r>
      <w:r w:rsidRPr="009D03E1">
        <w:rPr>
          <w:rFonts w:ascii="Helvetica" w:eastAsia="Times New Roman" w:hAnsi="Helvetica" w:cs="Helvetica"/>
          <w:color w:val="404040"/>
          <w:sz w:val="24"/>
          <w:szCs w:val="24"/>
          <w:lang w:eastAsia="el-GR"/>
        </w:rPr>
        <w:br/>
        <w:t xml:space="preserve">γ) Για την κατάθεση προσθήκης/αντίκρουσης, σημειώματος, υπομνήματος </w:t>
      </w:r>
      <w:proofErr w:type="spellStart"/>
      <w:r w:rsidRPr="009D03E1">
        <w:rPr>
          <w:rFonts w:ascii="Helvetica" w:eastAsia="Times New Roman" w:hAnsi="Helvetica" w:cs="Helvetica"/>
          <w:color w:val="404040"/>
          <w:sz w:val="24"/>
          <w:szCs w:val="24"/>
          <w:lang w:eastAsia="el-GR"/>
        </w:rPr>
        <w:t>κλπ</w:t>
      </w:r>
      <w:proofErr w:type="spellEnd"/>
      <w:r w:rsidRPr="009D03E1">
        <w:rPr>
          <w:rFonts w:ascii="Helvetica" w:eastAsia="Times New Roman" w:hAnsi="Helvetica" w:cs="Helvetica"/>
          <w:color w:val="404040"/>
          <w:sz w:val="24"/>
          <w:szCs w:val="24"/>
          <w:lang w:eastAsia="el-GR"/>
        </w:rPr>
        <w:t>, σε υποθέσεις που έχουν συζητηθεί και η προθεσμία λήγει κατά τη διάρκεια της αποχής.</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Ως προς τις Αναβολές:</w:t>
      </w:r>
      <w:r w:rsidRPr="009D03E1">
        <w:rPr>
          <w:rFonts w:ascii="Helvetica" w:eastAsia="Times New Roman" w:hAnsi="Helvetica" w:cs="Helvetica"/>
          <w:color w:val="404040"/>
          <w:sz w:val="24"/>
          <w:szCs w:val="24"/>
          <w:lang w:eastAsia="el-GR"/>
        </w:rPr>
        <w:br/>
        <w:t>Για την διευκόλυνση των συναδέλφων επιτρέπεται η παράσταση ενώπιον των δικαστηρίων για την υποβολή αιτήματος αναβολής, με την υποχρέωση στην περίπτωση μη παράστασης της πλευράς του αντιδίκου</w:t>
      </w:r>
      <w:r w:rsidRPr="009D03E1">
        <w:rPr>
          <w:rFonts w:ascii="Helvetica" w:eastAsia="Times New Roman" w:hAnsi="Helvetica" w:cs="Helvetica"/>
          <w:color w:val="404040"/>
          <w:sz w:val="24"/>
          <w:szCs w:val="24"/>
          <w:lang w:eastAsia="el-GR"/>
        </w:rPr>
        <w:br/>
        <w:t>να προβαίνουν αμελλητί και με κάθε πρόσφορο μέσο στην ενημέρωση του απόντος συναδέλφου για την ημερομηνία της νέας δικασίμου. Όπου υπάρχει συνεδρίαση ποινικού δικαστηρίου από διακοπή, θα ζητείται νέα διακοπή προς συζήτηση της υπόθεσης.</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Ως προς τις δηλώσεις παράστασης στα Πολιτικά και τα Διοικητικά</w:t>
      </w:r>
      <w:r w:rsidRPr="009D03E1">
        <w:rPr>
          <w:rFonts w:ascii="Helvetica" w:eastAsia="Times New Roman" w:hAnsi="Helvetica" w:cs="Helvetica"/>
          <w:b/>
          <w:bCs/>
          <w:color w:val="404040"/>
          <w:sz w:val="24"/>
          <w:szCs w:val="24"/>
          <w:lang w:eastAsia="el-GR"/>
        </w:rPr>
        <w:br/>
        <w:t>Δικαστήρια:</w:t>
      </w:r>
      <w:r w:rsidRPr="009D03E1">
        <w:rPr>
          <w:rFonts w:ascii="Helvetica" w:eastAsia="Times New Roman" w:hAnsi="Helvetica" w:cs="Helvetica"/>
          <w:color w:val="404040"/>
          <w:sz w:val="24"/>
          <w:szCs w:val="24"/>
          <w:lang w:eastAsia="el-GR"/>
        </w:rPr>
        <w:br/>
        <w:t>Δεν κατατίθενται, άλλως ανακαλούνται, δηλώσεις παράστασης που κατατίθενται έως την προτεραία, καθότι ισοδυναμούν με παράσταση δικηγόρου κατά την εκφώνηση της υπόθεσης. Σημειώνεται ότι το πλαίσιο</w:t>
      </w:r>
      <w:r w:rsidRPr="009D03E1">
        <w:rPr>
          <w:rFonts w:ascii="Helvetica" w:eastAsia="Times New Roman" w:hAnsi="Helvetica" w:cs="Helvetica"/>
          <w:color w:val="404040"/>
          <w:sz w:val="24"/>
          <w:szCs w:val="24"/>
          <w:lang w:eastAsia="el-GR"/>
        </w:rPr>
        <w:br/>
        <w:t>της αποχής πρέπει να εφαρμόζεται είτε υφίσταται υποχρέωση έκδοσης γραμματίου προείσπραξης εισφορών είτε υπάρχει απαλλαγή από αυτή την υποχρέωση κατά τα αναφερόμενα στο άρθρο 61 παρ. 3 του Κώδικα</w:t>
      </w:r>
      <w:r w:rsidRPr="009D03E1">
        <w:rPr>
          <w:rFonts w:ascii="Helvetica" w:eastAsia="Times New Roman" w:hAnsi="Helvetica" w:cs="Helvetica"/>
          <w:color w:val="404040"/>
          <w:sz w:val="24"/>
          <w:szCs w:val="24"/>
          <w:lang w:eastAsia="el-GR"/>
        </w:rPr>
        <w:br/>
        <w:t>Δικηγόρων, όπως μεταξύ άλλων τις περιπτώσεις που εκπροσωπούν το δημόσιο, ΟΤΑ, Οργανισμούς Κοινωνικής Ασφάλισης και Νομικά Πρόσωπα Δημοσίου Δικαίου με σύμβαση πάγιας αντιμισθίας ή</w:t>
      </w:r>
      <w:r w:rsidR="003D7F82">
        <w:rPr>
          <w:rFonts w:ascii="Helvetica" w:eastAsia="Times New Roman" w:hAnsi="Helvetica" w:cs="Helvetica"/>
          <w:color w:val="404040"/>
          <w:sz w:val="24"/>
          <w:szCs w:val="24"/>
          <w:lang w:eastAsia="el-GR"/>
        </w:rPr>
        <w:t xml:space="preserve"> </w:t>
      </w:r>
      <w:r w:rsidRPr="009D03E1">
        <w:rPr>
          <w:rFonts w:ascii="Helvetica" w:eastAsia="Times New Roman" w:hAnsi="Helvetica" w:cs="Helvetica"/>
          <w:color w:val="404040"/>
          <w:sz w:val="24"/>
          <w:szCs w:val="24"/>
          <w:lang w:eastAsia="el-GR"/>
        </w:rPr>
        <w:t>εκπροσωπούν δικαιούχους Νομικής Βοήθειας και Ευεργετικής Πενίας.</w:t>
      </w:r>
      <w:r w:rsidRPr="009D03E1">
        <w:rPr>
          <w:rFonts w:ascii="Helvetica" w:eastAsia="Times New Roman" w:hAnsi="Helvetica" w:cs="Helvetica"/>
          <w:color w:val="404040"/>
          <w:sz w:val="24"/>
          <w:szCs w:val="24"/>
          <w:lang w:eastAsia="el-GR"/>
        </w:rPr>
        <w:br/>
      </w:r>
      <w:r w:rsidRPr="009D03E1">
        <w:rPr>
          <w:rFonts w:ascii="Helvetica" w:eastAsia="Times New Roman" w:hAnsi="Helvetica" w:cs="Helvetica"/>
          <w:b/>
          <w:bCs/>
          <w:color w:val="404040"/>
          <w:sz w:val="24"/>
          <w:szCs w:val="24"/>
          <w:lang w:eastAsia="el-GR"/>
        </w:rPr>
        <w:t>Β. ΠΑΝΕΛΛΗΝΙΟ ΣΥΝΕΔΡΙΟ ΔΙΚΗΓΟΡΙΚΩΝ</w:t>
      </w:r>
      <w:r w:rsidRPr="009D03E1">
        <w:rPr>
          <w:rFonts w:ascii="Helvetica" w:eastAsia="Times New Roman" w:hAnsi="Helvetica" w:cs="Helvetica"/>
          <w:b/>
          <w:bCs/>
          <w:color w:val="404040"/>
          <w:sz w:val="24"/>
          <w:szCs w:val="24"/>
          <w:lang w:eastAsia="el-GR"/>
        </w:rPr>
        <w:br/>
        <w:t>ΣΥΛΛΟΓΩΝ</w:t>
      </w:r>
      <w:r w:rsidRPr="009D03E1">
        <w:rPr>
          <w:rFonts w:ascii="Helvetica" w:eastAsia="Times New Roman" w:hAnsi="Helvetica" w:cs="Helvetica"/>
          <w:color w:val="404040"/>
          <w:sz w:val="24"/>
          <w:szCs w:val="24"/>
          <w:lang w:eastAsia="el-GR"/>
        </w:rPr>
        <w:br/>
        <w:t>Η Ολομέλεια αποφάσισε την οργάνωση του 15 ου Πανελλήνιου Συνεδρίου Δικηγορικών Συλλόγων στις 4,5 και 6 Οκτωβρίου 2024 στην Αλεξανδρούπολη για τα μείζονα ζητήματα που αφορούν τη Δικαιοσύνη και τη Δικηγορία και ιδίως τον εκσυγχρονισμό του Κώδικα Δικηγόρων.</w:t>
      </w:r>
    </w:p>
    <w:p w14:paraId="455C00C0" w14:textId="77777777" w:rsidR="00873819" w:rsidRDefault="00873819"/>
    <w:sectPr w:rsidR="00873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E1"/>
    <w:rsid w:val="003D7F82"/>
    <w:rsid w:val="00873819"/>
    <w:rsid w:val="00921F0D"/>
    <w:rsid w:val="009D03E1"/>
    <w:rsid w:val="00EA3C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CD64"/>
  <w15:chartTrackingRefBased/>
  <w15:docId w15:val="{6B7306A2-F216-4CC7-A696-4A15C49F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F0D"/>
    <w:pPr>
      <w:spacing w:after="160" w:line="259" w:lineRule="auto"/>
    </w:pPr>
    <w:rPr>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482113">
      <w:bodyDiv w:val="1"/>
      <w:marLeft w:val="0"/>
      <w:marRight w:val="0"/>
      <w:marTop w:val="0"/>
      <w:marBottom w:val="0"/>
      <w:divBdr>
        <w:top w:val="none" w:sz="0" w:space="0" w:color="auto"/>
        <w:left w:val="none" w:sz="0" w:space="0" w:color="auto"/>
        <w:bottom w:val="none" w:sz="0" w:space="0" w:color="auto"/>
        <w:right w:val="none" w:sz="0" w:space="0" w:color="auto"/>
      </w:divBdr>
      <w:divsChild>
        <w:div w:id="1742822796">
          <w:marLeft w:val="0"/>
          <w:marRight w:val="0"/>
          <w:marTop w:val="0"/>
          <w:marBottom w:val="0"/>
          <w:divBdr>
            <w:top w:val="none" w:sz="0" w:space="0" w:color="auto"/>
            <w:left w:val="none" w:sz="0" w:space="0" w:color="auto"/>
            <w:bottom w:val="none" w:sz="0" w:space="0" w:color="auto"/>
            <w:right w:val="none" w:sz="0" w:space="0" w:color="auto"/>
          </w:divBdr>
          <w:divsChild>
            <w:div w:id="1101606268">
              <w:marLeft w:val="0"/>
              <w:marRight w:val="0"/>
              <w:marTop w:val="0"/>
              <w:marBottom w:val="0"/>
              <w:divBdr>
                <w:top w:val="none" w:sz="0" w:space="0" w:color="auto"/>
                <w:left w:val="none" w:sz="0" w:space="0" w:color="auto"/>
                <w:bottom w:val="none" w:sz="0" w:space="0" w:color="auto"/>
                <w:right w:val="none" w:sz="0" w:space="0" w:color="auto"/>
              </w:divBdr>
              <w:divsChild>
                <w:div w:id="680206533">
                  <w:marLeft w:val="0"/>
                  <w:marRight w:val="0"/>
                  <w:marTop w:val="0"/>
                  <w:marBottom w:val="0"/>
                  <w:divBdr>
                    <w:top w:val="none" w:sz="0" w:space="0" w:color="auto"/>
                    <w:left w:val="none" w:sz="0" w:space="0" w:color="auto"/>
                    <w:bottom w:val="none" w:sz="0" w:space="0" w:color="auto"/>
                    <w:right w:val="none" w:sz="0" w:space="0" w:color="auto"/>
                  </w:divBdr>
                  <w:divsChild>
                    <w:div w:id="9713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5127">
              <w:marLeft w:val="0"/>
              <w:marRight w:val="0"/>
              <w:marTop w:val="0"/>
              <w:marBottom w:val="0"/>
              <w:divBdr>
                <w:top w:val="none" w:sz="0" w:space="0" w:color="auto"/>
                <w:left w:val="none" w:sz="0" w:space="0" w:color="auto"/>
                <w:bottom w:val="none" w:sz="0" w:space="0" w:color="auto"/>
                <w:right w:val="none" w:sz="0" w:space="0" w:color="auto"/>
              </w:divBdr>
              <w:divsChild>
                <w:div w:id="668098519">
                  <w:marLeft w:val="0"/>
                  <w:marRight w:val="0"/>
                  <w:marTop w:val="0"/>
                  <w:marBottom w:val="0"/>
                  <w:divBdr>
                    <w:top w:val="none" w:sz="0" w:space="0" w:color="auto"/>
                    <w:left w:val="none" w:sz="0" w:space="0" w:color="auto"/>
                    <w:bottom w:val="none" w:sz="0" w:space="0" w:color="auto"/>
                    <w:right w:val="none" w:sz="0" w:space="0" w:color="auto"/>
                  </w:divBdr>
                  <w:divsChild>
                    <w:div w:id="20527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68148">
              <w:marLeft w:val="0"/>
              <w:marRight w:val="0"/>
              <w:marTop w:val="0"/>
              <w:marBottom w:val="0"/>
              <w:divBdr>
                <w:top w:val="none" w:sz="0" w:space="0" w:color="auto"/>
                <w:left w:val="none" w:sz="0" w:space="0" w:color="auto"/>
                <w:bottom w:val="none" w:sz="0" w:space="0" w:color="auto"/>
                <w:right w:val="none" w:sz="0" w:space="0" w:color="auto"/>
              </w:divBdr>
              <w:divsChild>
                <w:div w:id="1632905027">
                  <w:marLeft w:val="0"/>
                  <w:marRight w:val="0"/>
                  <w:marTop w:val="0"/>
                  <w:marBottom w:val="0"/>
                  <w:divBdr>
                    <w:top w:val="none" w:sz="0" w:space="0" w:color="auto"/>
                    <w:left w:val="none" w:sz="0" w:space="0" w:color="auto"/>
                    <w:bottom w:val="none" w:sz="0" w:space="0" w:color="auto"/>
                    <w:right w:val="none" w:sz="0" w:space="0" w:color="auto"/>
                  </w:divBdr>
                  <w:divsChild>
                    <w:div w:id="16359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meleia.gr/el/taxonomy/term/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1189</Words>
  <Characters>6424</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Γραμματεία Προέδρου</dc:creator>
  <cp:keywords/>
  <dc:description/>
  <cp:lastModifiedBy>Γραμματεία Προέδρου</cp:lastModifiedBy>
  <cp:revision>3</cp:revision>
  <dcterms:created xsi:type="dcterms:W3CDTF">2024-04-20T14:36:00Z</dcterms:created>
  <dcterms:modified xsi:type="dcterms:W3CDTF">2024-04-20T14:39:00Z</dcterms:modified>
</cp:coreProperties>
</file>